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B78D" w14:textId="77777777" w:rsidR="004F788C" w:rsidRDefault="004F788C" w:rsidP="004F788C">
      <w:r>
        <w:t>Кадровое обеспечение общеобразовательных программ дошкольного образования</w:t>
      </w:r>
    </w:p>
    <w:p w14:paraId="66B084E5" w14:textId="77777777" w:rsidR="004F788C" w:rsidRDefault="004F788C" w:rsidP="004F788C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4495"/>
        <w:gridCol w:w="1098"/>
        <w:gridCol w:w="7697"/>
        <w:gridCol w:w="1107"/>
      </w:tblGrid>
      <w:tr w:rsidR="004F788C" w14:paraId="67912BE5" w14:textId="77777777" w:rsidTr="00224C90">
        <w:trPr>
          <w:tblCellSpacing w:w="0" w:type="dxa"/>
        </w:trPr>
        <w:tc>
          <w:tcPr>
            <w:tcW w:w="172" w:type="dxa"/>
            <w:vMerge w:val="restart"/>
          </w:tcPr>
          <w:p w14:paraId="1CE73BE1" w14:textId="77777777" w:rsidR="004F788C" w:rsidRDefault="004F788C" w:rsidP="00224C90"/>
          <w:p w14:paraId="6DF0F5C9" w14:textId="77777777" w:rsidR="004F788C" w:rsidRPr="0073231F" w:rsidRDefault="004F788C" w:rsidP="00224C90"/>
        </w:tc>
        <w:tc>
          <w:tcPr>
            <w:tcW w:w="4658" w:type="dxa"/>
          </w:tcPr>
          <w:p w14:paraId="5012120F" w14:textId="77777777" w:rsidR="004F788C" w:rsidRDefault="004F788C" w:rsidP="00224C90">
            <w:r>
              <w:t>Критерии</w:t>
            </w:r>
          </w:p>
        </w:tc>
        <w:tc>
          <w:tcPr>
            <w:tcW w:w="1134" w:type="dxa"/>
          </w:tcPr>
          <w:p w14:paraId="604BB4F8" w14:textId="77777777" w:rsidR="004F788C" w:rsidRDefault="004F788C" w:rsidP="00224C90"/>
        </w:tc>
        <w:tc>
          <w:tcPr>
            <w:tcW w:w="8079" w:type="dxa"/>
          </w:tcPr>
          <w:p w14:paraId="536A8108" w14:textId="77777777" w:rsidR="004F788C" w:rsidRDefault="004F788C" w:rsidP="00224C90"/>
        </w:tc>
        <w:tc>
          <w:tcPr>
            <w:tcW w:w="1134" w:type="dxa"/>
          </w:tcPr>
          <w:p w14:paraId="37E5022C" w14:textId="77777777" w:rsidR="004F788C" w:rsidRDefault="004F788C" w:rsidP="00224C90">
            <w:r>
              <w:t>К-во баллов</w:t>
            </w:r>
          </w:p>
        </w:tc>
      </w:tr>
      <w:tr w:rsidR="004F788C" w14:paraId="1FD1C1C6" w14:textId="77777777" w:rsidTr="00224C90">
        <w:trPr>
          <w:tblCellSpacing w:w="0" w:type="dxa"/>
        </w:trPr>
        <w:tc>
          <w:tcPr>
            <w:tcW w:w="172" w:type="dxa"/>
            <w:vMerge/>
          </w:tcPr>
          <w:p w14:paraId="474DEF32" w14:textId="77777777" w:rsidR="004F788C" w:rsidRDefault="004F788C" w:rsidP="00224C90"/>
        </w:tc>
        <w:tc>
          <w:tcPr>
            <w:tcW w:w="4658" w:type="dxa"/>
          </w:tcPr>
          <w:p w14:paraId="13DE266F" w14:textId="77777777" w:rsidR="004F788C" w:rsidRDefault="004F788C" w:rsidP="00224C90">
            <w:r>
              <w:t>Укомплектованность штатными педагогическими кадрами</w:t>
            </w:r>
          </w:p>
        </w:tc>
        <w:tc>
          <w:tcPr>
            <w:tcW w:w="1134" w:type="dxa"/>
          </w:tcPr>
          <w:p w14:paraId="4C753EEC" w14:textId="77777777" w:rsidR="004F788C" w:rsidRDefault="004F788C" w:rsidP="00224C90">
            <w:r>
              <w:t>100% -</w:t>
            </w:r>
          </w:p>
          <w:p w14:paraId="48FBD254" w14:textId="77777777" w:rsidR="004F788C" w:rsidRDefault="004F788C" w:rsidP="00224C90">
            <w:r>
              <w:t>3 балла</w:t>
            </w:r>
          </w:p>
        </w:tc>
        <w:tc>
          <w:tcPr>
            <w:tcW w:w="8079" w:type="dxa"/>
          </w:tcPr>
          <w:p w14:paraId="7FC0BE3F" w14:textId="77777777" w:rsidR="004F788C" w:rsidRDefault="004F788C" w:rsidP="00224C90">
            <w:r>
              <w:t xml:space="preserve">Укомплектованность и соответствие педагогических работников образовательному цензу, который позволяет реализовывать общеобразовательные программы дошкольного образования </w:t>
            </w:r>
          </w:p>
          <w:p w14:paraId="204F8002" w14:textId="77777777" w:rsidR="004F788C" w:rsidRDefault="004F788C" w:rsidP="00224C90">
            <w:r>
              <w:t xml:space="preserve">100% – 3 балла; </w:t>
            </w:r>
          </w:p>
          <w:p w14:paraId="24EE8FCA" w14:textId="77777777" w:rsidR="004F788C" w:rsidRDefault="004F788C" w:rsidP="00224C90">
            <w:r>
              <w:t xml:space="preserve">99-75% </w:t>
            </w:r>
            <w:proofErr w:type="gramStart"/>
            <w:r>
              <w:t>-  2</w:t>
            </w:r>
            <w:proofErr w:type="gramEnd"/>
            <w:r>
              <w:t xml:space="preserve"> балла; </w:t>
            </w:r>
          </w:p>
          <w:p w14:paraId="6F0F01A9" w14:textId="77777777" w:rsidR="004F788C" w:rsidRDefault="004F788C" w:rsidP="00224C90">
            <w:r>
              <w:t xml:space="preserve">55-74% - 1 балл; </w:t>
            </w:r>
          </w:p>
          <w:p w14:paraId="2DBFA2F6" w14:textId="77777777" w:rsidR="004F788C" w:rsidRDefault="004F788C" w:rsidP="00224C90">
            <w:r>
              <w:t>менее 55% - 0 баллов</w:t>
            </w:r>
          </w:p>
        </w:tc>
        <w:tc>
          <w:tcPr>
            <w:tcW w:w="1134" w:type="dxa"/>
          </w:tcPr>
          <w:p w14:paraId="2BDB86DE" w14:textId="77777777" w:rsidR="004F788C" w:rsidRDefault="004F788C" w:rsidP="00224C90"/>
        </w:tc>
      </w:tr>
      <w:tr w:rsidR="004F788C" w14:paraId="03CD2A72" w14:textId="77777777" w:rsidTr="00224C90">
        <w:trPr>
          <w:tblCellSpacing w:w="0" w:type="dxa"/>
        </w:trPr>
        <w:tc>
          <w:tcPr>
            <w:tcW w:w="172" w:type="dxa"/>
            <w:vMerge/>
            <w:vAlign w:val="center"/>
          </w:tcPr>
          <w:p w14:paraId="4D039B93" w14:textId="77777777" w:rsidR="004F788C" w:rsidRDefault="004F788C" w:rsidP="00224C90"/>
        </w:tc>
        <w:tc>
          <w:tcPr>
            <w:tcW w:w="4658" w:type="dxa"/>
          </w:tcPr>
          <w:p w14:paraId="1E743DA8" w14:textId="77777777" w:rsidR="004F788C" w:rsidRDefault="004F788C" w:rsidP="00224C90">
            <w:r>
              <w:t>Соответствие педагогов образовательному цензу, который определяется Типовым Положением</w:t>
            </w:r>
          </w:p>
        </w:tc>
        <w:tc>
          <w:tcPr>
            <w:tcW w:w="1134" w:type="dxa"/>
          </w:tcPr>
          <w:p w14:paraId="6C6E150B" w14:textId="77777777" w:rsidR="004F788C" w:rsidRDefault="004F788C" w:rsidP="00224C90">
            <w:r>
              <w:t>50% -</w:t>
            </w:r>
          </w:p>
          <w:p w14:paraId="562A3DFB" w14:textId="77777777" w:rsidR="004F788C" w:rsidRDefault="004F788C" w:rsidP="00224C90">
            <w:r>
              <w:t>3 балла</w:t>
            </w:r>
          </w:p>
        </w:tc>
        <w:tc>
          <w:tcPr>
            <w:tcW w:w="8079" w:type="dxa"/>
          </w:tcPr>
          <w:p w14:paraId="2D98B11C" w14:textId="77777777" w:rsidR="004F788C" w:rsidRDefault="004F788C" w:rsidP="00224C90">
            <w:r>
              <w:t>Удельный вес педагогов, имеющих высшее профессиональное образование.</w:t>
            </w:r>
          </w:p>
          <w:p w14:paraId="55CF3A5D" w14:textId="77777777" w:rsidR="004F788C" w:rsidRDefault="004F788C" w:rsidP="00224C90">
            <w:r>
              <w:t xml:space="preserve">50-40% - 3 балла; 39-30% - 2 балла; </w:t>
            </w:r>
          </w:p>
          <w:p w14:paraId="09FEEEA9" w14:textId="77777777" w:rsidR="004F788C" w:rsidRDefault="004F788C" w:rsidP="00224C90">
            <w:r>
              <w:t>29-10% - 1 балл; менее 10% - 0 баллов.</w:t>
            </w:r>
          </w:p>
          <w:p w14:paraId="141679F3" w14:textId="77777777" w:rsidR="004F788C" w:rsidRDefault="004F788C" w:rsidP="00224C90">
            <w:r>
              <w:t>Соответствие – 3 балла;</w:t>
            </w:r>
          </w:p>
          <w:p w14:paraId="3D512DBA" w14:textId="77777777" w:rsidR="004F788C" w:rsidRDefault="004F788C" w:rsidP="00224C90">
            <w:r>
              <w:t xml:space="preserve">частичное соответствие – 1- 2 балла; </w:t>
            </w:r>
          </w:p>
          <w:p w14:paraId="6E54193A" w14:textId="77777777" w:rsidR="004F788C" w:rsidRDefault="004F788C" w:rsidP="00224C90">
            <w:r>
              <w:t xml:space="preserve">несоответствие – 0 баллов  </w:t>
            </w:r>
          </w:p>
        </w:tc>
        <w:tc>
          <w:tcPr>
            <w:tcW w:w="1134" w:type="dxa"/>
          </w:tcPr>
          <w:p w14:paraId="2B58AC0D" w14:textId="77777777" w:rsidR="004F788C" w:rsidRDefault="004F788C" w:rsidP="00224C90"/>
        </w:tc>
      </w:tr>
      <w:tr w:rsidR="004F788C" w14:paraId="10012CB8" w14:textId="77777777" w:rsidTr="00224C90">
        <w:trPr>
          <w:tblCellSpacing w:w="0" w:type="dxa"/>
        </w:trPr>
        <w:tc>
          <w:tcPr>
            <w:tcW w:w="172" w:type="dxa"/>
            <w:vMerge/>
            <w:vAlign w:val="center"/>
          </w:tcPr>
          <w:p w14:paraId="70E201F8" w14:textId="77777777" w:rsidR="004F788C" w:rsidRDefault="004F788C" w:rsidP="00224C90"/>
        </w:tc>
        <w:tc>
          <w:tcPr>
            <w:tcW w:w="4658" w:type="dxa"/>
          </w:tcPr>
          <w:p w14:paraId="29728DE4" w14:textId="77777777" w:rsidR="004F788C" w:rsidRDefault="004F788C" w:rsidP="00224C90">
            <w:r>
              <w:t>Наличие педагогов, имеющих первую и высшую квалификационные категории</w:t>
            </w:r>
          </w:p>
        </w:tc>
        <w:tc>
          <w:tcPr>
            <w:tcW w:w="1134" w:type="dxa"/>
          </w:tcPr>
          <w:p w14:paraId="2ABA34FA" w14:textId="77777777" w:rsidR="004F788C" w:rsidRDefault="004F788C" w:rsidP="00224C90">
            <w:r>
              <w:t xml:space="preserve">50% - </w:t>
            </w:r>
          </w:p>
          <w:p w14:paraId="448F29CB" w14:textId="77777777" w:rsidR="004F788C" w:rsidRDefault="004F788C" w:rsidP="00224C90">
            <w:r>
              <w:t>3 балла</w:t>
            </w:r>
          </w:p>
        </w:tc>
        <w:tc>
          <w:tcPr>
            <w:tcW w:w="8079" w:type="dxa"/>
          </w:tcPr>
          <w:p w14:paraId="43433BD2" w14:textId="77777777" w:rsidR="004F788C" w:rsidRDefault="004F788C" w:rsidP="00224C90">
            <w:r>
              <w:t>Удельный вес педагогов, имеющих первую или высшую квалификационную категорию.</w:t>
            </w:r>
          </w:p>
          <w:p w14:paraId="055AB06C" w14:textId="77777777" w:rsidR="004F788C" w:rsidRDefault="004F788C" w:rsidP="00224C90">
            <w:r>
              <w:t xml:space="preserve">50-40% - 3 балла; </w:t>
            </w:r>
          </w:p>
          <w:p w14:paraId="032EDD81" w14:textId="77777777" w:rsidR="004F788C" w:rsidRDefault="004F788C" w:rsidP="00224C90">
            <w:r>
              <w:t xml:space="preserve">39-25% - 2 балла; </w:t>
            </w:r>
          </w:p>
          <w:p w14:paraId="37F44F2B" w14:textId="77777777" w:rsidR="004F788C" w:rsidRDefault="004F788C" w:rsidP="00224C90">
            <w:r>
              <w:t xml:space="preserve">24-10% - 1 балл; </w:t>
            </w:r>
          </w:p>
          <w:p w14:paraId="328DEC08" w14:textId="77777777" w:rsidR="004F788C" w:rsidRDefault="004F788C" w:rsidP="00224C90">
            <w:r>
              <w:t>менее 10% - 0 баллов</w:t>
            </w:r>
          </w:p>
        </w:tc>
        <w:tc>
          <w:tcPr>
            <w:tcW w:w="1134" w:type="dxa"/>
          </w:tcPr>
          <w:p w14:paraId="09A4BD5C" w14:textId="77777777" w:rsidR="004F788C" w:rsidRDefault="004F788C" w:rsidP="00224C90"/>
        </w:tc>
      </w:tr>
      <w:tr w:rsidR="004F788C" w14:paraId="674EF501" w14:textId="77777777" w:rsidTr="00224C90">
        <w:trPr>
          <w:tblCellSpacing w:w="0" w:type="dxa"/>
        </w:trPr>
        <w:tc>
          <w:tcPr>
            <w:tcW w:w="172" w:type="dxa"/>
            <w:vMerge/>
            <w:vAlign w:val="center"/>
          </w:tcPr>
          <w:p w14:paraId="181D4E76" w14:textId="77777777" w:rsidR="004F788C" w:rsidRDefault="004F788C" w:rsidP="00224C90"/>
        </w:tc>
        <w:tc>
          <w:tcPr>
            <w:tcW w:w="4658" w:type="dxa"/>
          </w:tcPr>
          <w:p w14:paraId="3757C083" w14:textId="77777777" w:rsidR="004F788C" w:rsidRDefault="004F788C" w:rsidP="00224C90">
            <w:r>
              <w:t>Повышение квалификации педагогических кадров</w:t>
            </w:r>
          </w:p>
        </w:tc>
        <w:tc>
          <w:tcPr>
            <w:tcW w:w="1134" w:type="dxa"/>
          </w:tcPr>
          <w:p w14:paraId="3C812B8B" w14:textId="77777777" w:rsidR="004F788C" w:rsidRDefault="004F788C" w:rsidP="00224C90">
            <w:r>
              <w:t>100% -</w:t>
            </w:r>
          </w:p>
          <w:p w14:paraId="4270580D" w14:textId="77777777" w:rsidR="004F788C" w:rsidRDefault="004F788C" w:rsidP="00224C90">
            <w:r>
              <w:t>3 балла</w:t>
            </w:r>
          </w:p>
        </w:tc>
        <w:tc>
          <w:tcPr>
            <w:tcW w:w="8079" w:type="dxa"/>
          </w:tcPr>
          <w:p w14:paraId="6AEEBB6B" w14:textId="77777777" w:rsidR="004F788C" w:rsidRDefault="004F788C" w:rsidP="00224C90">
            <w:r>
              <w:t>Количество педагогических работников, повысивших квалификацию в текущем году в соответствии с планом.</w:t>
            </w:r>
          </w:p>
          <w:p w14:paraId="6398E9C3" w14:textId="77777777" w:rsidR="004F788C" w:rsidRDefault="004F788C" w:rsidP="00224C90">
            <w:r>
              <w:t xml:space="preserve">100-80% - 3 балла; </w:t>
            </w:r>
          </w:p>
          <w:p w14:paraId="7C4CBB46" w14:textId="77777777" w:rsidR="004F788C" w:rsidRDefault="004F788C" w:rsidP="00224C90">
            <w:r>
              <w:t xml:space="preserve">79-50% - 2 балла; </w:t>
            </w:r>
          </w:p>
          <w:p w14:paraId="26B959AD" w14:textId="77777777" w:rsidR="004F788C" w:rsidRDefault="004F788C" w:rsidP="00224C90">
            <w:r>
              <w:t xml:space="preserve">49-10% - 1 балл; </w:t>
            </w:r>
          </w:p>
          <w:p w14:paraId="2FB21565" w14:textId="77777777" w:rsidR="004F788C" w:rsidRDefault="004F788C" w:rsidP="00224C90">
            <w:r>
              <w:t>менее 10% - 0 баллов.</w:t>
            </w:r>
          </w:p>
          <w:p w14:paraId="5DEB8B79" w14:textId="77777777" w:rsidR="004F788C" w:rsidRDefault="004F788C" w:rsidP="00224C90">
            <w:r>
              <w:t>Превышение плана – дополнительно 1 балл</w:t>
            </w:r>
          </w:p>
        </w:tc>
        <w:tc>
          <w:tcPr>
            <w:tcW w:w="1134" w:type="dxa"/>
          </w:tcPr>
          <w:p w14:paraId="30527B3F" w14:textId="77777777" w:rsidR="004F788C" w:rsidRDefault="004F788C" w:rsidP="00224C90"/>
        </w:tc>
      </w:tr>
    </w:tbl>
    <w:p w14:paraId="5B1A0E63" w14:textId="77777777" w:rsidR="004F788C" w:rsidRDefault="004F788C" w:rsidP="004F788C"/>
    <w:p w14:paraId="69F2905D" w14:textId="77777777" w:rsidR="00E10F27" w:rsidRDefault="00E10F27">
      <w:bookmarkStart w:id="0" w:name="_GoBack"/>
      <w:bookmarkEnd w:id="0"/>
    </w:p>
    <w:sectPr w:rsidR="00E10F27" w:rsidSect="0073231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B1"/>
    <w:rsid w:val="004F788C"/>
    <w:rsid w:val="009822B1"/>
    <w:rsid w:val="00E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4D8A"/>
  <w15:chartTrackingRefBased/>
  <w15:docId w15:val="{46185278-A091-4DB2-8480-0CCA4BC0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2</cp:revision>
  <dcterms:created xsi:type="dcterms:W3CDTF">2023-04-12T12:56:00Z</dcterms:created>
  <dcterms:modified xsi:type="dcterms:W3CDTF">2023-04-12T12:57:00Z</dcterms:modified>
</cp:coreProperties>
</file>